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40" w:lineRule="exact"/>
        <w:rPr>
          <w:rFonts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附件1</w:t>
      </w:r>
    </w:p>
    <w:p>
      <w:pPr>
        <w:spacing w:before="100" w:beforeAutospacing="1" w:after="100" w:afterAutospacing="1" w:line="440" w:lineRule="exact"/>
        <w:jc w:val="center"/>
        <w:rPr>
          <w:rFonts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202</w:t>
      </w: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sz w:val="30"/>
          <w:szCs w:val="30"/>
        </w:rPr>
        <w:t>年安溪县民政局公开招聘编制外</w:t>
      </w:r>
      <w:r>
        <w:rPr>
          <w:rFonts w:hint="eastAsia" w:ascii="华文中宋" w:hAnsi="华文中宋" w:eastAsia="华文中宋" w:cs="华文中宋"/>
          <w:sz w:val="30"/>
          <w:szCs w:val="30"/>
          <w:lang w:eastAsia="zh-CN"/>
        </w:rPr>
        <w:t>工作人员和乡镇养老救助协理员</w:t>
      </w:r>
      <w:r>
        <w:rPr>
          <w:rFonts w:hint="eastAsia" w:ascii="华文中宋" w:hAnsi="华文中宋" w:eastAsia="华文中宋" w:cs="华文中宋"/>
          <w:sz w:val="30"/>
          <w:szCs w:val="30"/>
        </w:rPr>
        <w:t>岗位信息表</w:t>
      </w:r>
    </w:p>
    <w:tbl>
      <w:tblPr>
        <w:tblStyle w:val="3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050"/>
        <w:gridCol w:w="1050"/>
        <w:gridCol w:w="1020"/>
        <w:gridCol w:w="2565"/>
        <w:gridCol w:w="930"/>
        <w:gridCol w:w="1365"/>
        <w:gridCol w:w="1500"/>
        <w:gridCol w:w="1335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15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单位名称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岗位代码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岗位类别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招聘人数</w:t>
            </w:r>
          </w:p>
        </w:tc>
        <w:tc>
          <w:tcPr>
            <w:tcW w:w="6360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所需资格条件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pacing w:val="-14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pacing w:val="-14"/>
                <w:sz w:val="30"/>
                <w:szCs w:val="30"/>
              </w:rPr>
              <w:t>考试方式</w:t>
            </w:r>
          </w:p>
        </w:tc>
        <w:tc>
          <w:tcPr>
            <w:tcW w:w="2553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 w:val="30"/>
                <w:szCs w:val="30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 w:val="30"/>
                <w:szCs w:val="30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 w:val="30"/>
                <w:szCs w:val="30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 w:val="30"/>
                <w:szCs w:val="30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最高年龄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性别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学历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专业要求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tabs>
                <w:tab w:val="left" w:pos="330"/>
              </w:tabs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笔试</w:t>
            </w:r>
          </w:p>
        </w:tc>
        <w:tc>
          <w:tcPr>
            <w:tcW w:w="2553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9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  <w:lang w:eastAsia="zh-CN"/>
              </w:rPr>
              <w:t>安溪县民政局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华文中宋" w:eastAsia="仿宋_GB2312" w:cs="华文中宋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  <w:lang w:eastAsia="zh-CN"/>
              </w:rPr>
              <w:t>编制外工作人员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华文中宋" w:eastAsia="仿宋_GB2312" w:cs="华文中宋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  <w:lang w:val="en-US" w:eastAsia="zh-CN"/>
              </w:rPr>
              <w:t>35周岁及以下</w:t>
            </w:r>
          </w:p>
          <w:p>
            <w:pPr>
              <w:spacing w:line="320" w:lineRule="exact"/>
              <w:jc w:val="center"/>
              <w:rPr>
                <w:rFonts w:hint="default" w:ascii="仿宋_GB2312" w:hAnsi="华文中宋" w:eastAsia="仿宋_GB2312" w:cs="华文中宋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  <w:lang w:val="en-US" w:eastAsia="zh-CN"/>
              </w:rPr>
              <w:t>（1987年7月至2005年7月期间出生）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  <w:t>不限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  <w:t>大专及以上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  <w:t>不限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  <w:t>100%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华文中宋" w:eastAsia="仿宋_GB2312" w:cs="华文中宋"/>
                <w:spacing w:val="-1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9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  <w:lang w:eastAsia="zh-CN"/>
              </w:rPr>
              <w:t>安溪县民政局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华文中宋" w:eastAsia="仿宋_GB2312" w:cs="华文中宋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  <w:lang w:eastAsia="zh-CN"/>
              </w:rPr>
              <w:t>乡镇养老救助协理员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  <w:lang w:val="en-US" w:eastAsia="zh-CN"/>
              </w:rPr>
              <w:t>35周岁及以下</w:t>
            </w:r>
          </w:p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  <w:lang w:val="en-US" w:eastAsia="zh-CN"/>
              </w:rPr>
              <w:t>（1987年7月至2005年7月期间出生）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  <w:t>不限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  <w:t>大专及以上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  <w:t>不限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  <w:t>100%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  <w:t>蓬莱镇1名</w:t>
            </w: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  <w:t>湖上乡1名</w:t>
            </w: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  <w:t>剑斗镇1名</w:t>
            </w: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  <w:t>感德镇1名</w:t>
            </w: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  <w:t>长卿镇3名</w:t>
            </w: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  <w:t>祥华乡2名</w:t>
            </w: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  <w:t>大坪乡1名</w:t>
            </w: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  <w:t>尚卿乡2名</w:t>
            </w: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  <w:lang w:eastAsia="zh-CN"/>
              </w:rPr>
              <w:t>、虎邱镇</w:t>
            </w: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  <w:lang w:val="en-US" w:eastAsia="zh-CN"/>
              </w:rPr>
              <w:t>1名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NGZlZmZmNjJhNTk5MDRkYWU3MmZmMGVmZjBhNjcifQ=="/>
  </w:docVars>
  <w:rsids>
    <w:rsidRoot w:val="335D41AB"/>
    <w:rsid w:val="05342F04"/>
    <w:rsid w:val="180954C5"/>
    <w:rsid w:val="1DA0384B"/>
    <w:rsid w:val="22B03231"/>
    <w:rsid w:val="2D452FC2"/>
    <w:rsid w:val="2DC23FE0"/>
    <w:rsid w:val="335D41AB"/>
    <w:rsid w:val="5BF3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209</Characters>
  <Lines>0</Lines>
  <Paragraphs>0</Paragraphs>
  <TotalTime>1</TotalTime>
  <ScaleCrop>false</ScaleCrop>
  <LinksUpToDate>false</LinksUpToDate>
  <CharactersWithSpaces>209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2023-07-18T02:20:00Z</dcterms:created>
  <dc:creator>(ง •̀_•́)ง♂</dc:creator>
  <cp:lastModifiedBy>(ง •̀_•́)ง♂</cp:lastModifiedBy>
  <dcterms:modified xsi:type="dcterms:W3CDTF">2023-07-19T07:33:38Z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E923CD4D87DF4C759EA61D49AEF723E4_11</vt:lpwstr>
  </property>
</Properties>
</file>