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</w:pPr>
    </w:p>
    <w:p>
      <w:pPr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附件1</w:t>
      </w:r>
      <w:bookmarkStart w:id="0" w:name="_GoBack"/>
      <w:r>
        <w:rPr>
          <w:rFonts w:hint="eastAsia" w:ascii="黑体" w:hAnsi="宋体" w:eastAsia="黑体" w:cs="黑体"/>
          <w:kern w:val="0"/>
          <w:sz w:val="32"/>
          <w:szCs w:val="32"/>
        </w:rPr>
        <w:t>岗位条件一览表</w:t>
      </w:r>
      <w:bookmarkEnd w:id="0"/>
    </w:p>
    <w:tbl>
      <w:tblPr>
        <w:tblStyle w:val="7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56"/>
        <w:gridCol w:w="1080"/>
        <w:gridCol w:w="1080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招聘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会计财务岗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1、40周岁及以下；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2、持有中级会计资格证；                3、本科及以上学历；                         4、会计学、财务管理、企业财务管理、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财务学、会计财务（电算化）、会计电算化专业；                        5、三年以上财务相关工作经验。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1、18以上35周岁以下；                         2、本科及以上学历；                            3、经济贸易类、财政金融类、会计与审计类；                                               4、具备扎实的金融专业知识，了解相关的金融政策，熟悉融资业务流程。具有良好的分析判断能力，具有一定的财务分析能力、行业研究能力、具备敏锐洞察力和较强的风险控制能力。                                      5、基金、信托、证券、担保等行业或投融资相关岗位两年以上工作经验。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1、18以上35周岁以下；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2、2022年应届毕业生；                        3、本科及以上学历；                                4、图书档案学类。                                       </w:t>
            </w:r>
          </w:p>
        </w:tc>
      </w:tr>
    </w:tbl>
    <w:p>
      <w:pPr>
        <w:pStyle w:val="2"/>
        <w:spacing w:after="0" w:line="560" w:lineRule="exact"/>
        <w:ind w:left="0" w:leftChars="0" w:firstLine="0" w:firstLineChars="0"/>
        <w:jc w:val="both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18" w:bottom="1417" w:left="1418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161504DA"/>
    <w:rsid w:val="161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2022-12-30T07:31:00Z</dcterms:created>
  <dc:creator>柒剑</dc:creator>
  <cp:lastModifiedBy>柒剑</cp:lastModifiedBy>
  <dcterms:modified xsi:type="dcterms:W3CDTF">2022-12-30T07:32:17Z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6CF504CB86AD4DA3BB0C5432EEFE68C7</vt:lpwstr>
  </property>
</Properties>
</file>