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beforeLines="0" w:afterLines="0" w:line="540" w:lineRule="exact"/>
        <w:ind w:left="-619" w:leftChars="-295" w:firstLine="0" w:firstLineChars="0"/>
        <w:jc w:val="left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附件5</w:t>
      </w:r>
    </w:p>
    <w:p>
      <w:pPr>
        <w:shd w:val="clear" w:color="auto" w:fill="auto"/>
        <w:spacing w:beforeLines="0" w:afterLines="0" w:line="540" w:lineRule="exact"/>
        <w:ind w:left="5280" w:hanging="5280" w:hangingChars="1200"/>
        <w:jc w:val="center"/>
        <w:rPr>
          <w:rFonts w:ascii="黑体" w:hAnsi="黑体" w:eastAsia="黑体" w:cs="黑体"/>
          <w:color w:val="auto"/>
          <w:spacing w:val="0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eastAsia="zh-CN"/>
        </w:rPr>
        <w:t>申报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</w:rPr>
        <w:t>材料清单</w:t>
      </w:r>
    </w:p>
    <w:bookmarkEnd w:id="0"/>
    <w:p>
      <w:pPr>
        <w:pStyle w:val="6"/>
        <w:shd w:val="clear" w:color="auto" w:fill="auto"/>
        <w:spacing w:beforeLines="0" w:after="0" w:line="540" w:lineRule="exact"/>
        <w:ind w:firstLine="320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《福州市“好年华 聚福州”人才住房保障资格申请表》（人才签名并由所在单位盖章，其中劳务派遣人员由实际用人单位盖章）；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身份证；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落户证明材料：户口本；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家庭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成员关系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证明材料：结婚证、户口本、出生证明等;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申报之日前3个月以上城镇职工养老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社保缴交证明；</w:t>
      </w:r>
    </w:p>
    <w:p>
      <w:pPr>
        <w:pStyle w:val="2"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所在单位证明，如企业营业执照复印件，机关事业单位、社会群体、民办非企业、基层群众性自治组织等组织机构代码证或登记执照复印件；</w:t>
      </w:r>
    </w:p>
    <w:p>
      <w:pPr>
        <w:pStyle w:val="2"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7.家庭成员个人不动产登记信息查询记录（现状与历史）；</w:t>
      </w:r>
    </w:p>
    <w:p>
      <w:pPr>
        <w:pStyle w:val="2"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8.劳动合同，劳务派遣人员需提供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TW" w:eastAsia="zh-TW"/>
        </w:rPr>
        <w:t>单位劳务派遣协议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TW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TW" w:eastAsia="zh-TW"/>
        </w:rPr>
        <w:t>个人劳务派遣合同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TW" w:eastAsia="zh-CN"/>
        </w:rPr>
        <w:t>；</w:t>
      </w:r>
    </w:p>
    <w:p>
      <w:pPr>
        <w:pStyle w:val="2"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税收证明：在企业工作的申报人需提交所在企业上一年度税单，在民办非企业、合伙制企业等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不产生企业地方贡献的用人单位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工作的申报人需提交个人所得税税单；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学历证明材料：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以学历进行申报的人才需提供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学历学位证书以及学信网（https://www.chsi.com.cn/）、中国留学网（http://www.cscse.edu.cn/）查询结果等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技能证明材料：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以职业资格或技能等级证书进行申报的人才需提供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技能人才评价证书全国联网（http://jndj.osta.org.cn/）查询结果等；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以福建省高层次人才（特级、A类、B类、C类）、福州市高层次人才（D类、E类、F类）进行申报的，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需提供人才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入选证明材料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hd w:val="clear" w:color="auto" w:fill="auto"/>
        <w:spacing w:beforeLines="0" w:afterLines="0" w:line="540" w:lineRule="exact"/>
        <w:ind w:left="-10" w:firstLine="64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以职称进行申报的，需提供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职称证明材料。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ind w:firstLine="210" w:firstLineChars="100"/>
        <w:jc w:val="left"/>
      </w:pPr>
    </w:p>
    <w:p/>
    <w:p/>
    <w:p/>
    <w:p/>
    <w:sectPr>
      <w:pgSz w:w="11906" w:h="16838"/>
      <w:pgMar w:top="1587" w:right="1474" w:bottom="1701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0EE75D75"/>
    <w:rsid w:val="0EE7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 w:afterLines="0"/>
    </w:pPr>
    <w:rPr>
      <w:rFonts w:ascii="Calibri" w:hAnsi="Calibri" w:eastAsia="华文仿宋" w:cs="Times New Roman"/>
      <w:sz w:val="30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2023-08-15T00:59:00Z</dcterms:created>
  <dc:creator>周璐</dc:creator>
  <cp:lastModifiedBy>周璐</cp:lastModifiedBy>
  <dcterms:modified xsi:type="dcterms:W3CDTF">2023-08-15T01:02:33Z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1157417AF8D3431CA83A9E82625D10D2_11</vt:lpwstr>
  </property>
</Properties>
</file>